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de9Title"/>
        <w:spacing w:after="60"/>
        <w:jc w:val="center"/>
      </w:pPr>
      <w:r>
        <w:rPr>
          <w:rFonts w:ascii="Arial" w:hAnsi="Arial" w:eastAsia="Arial"/>
          <w:b/>
          <w:color w:val="C62E2E"/>
          <w:sz w:val="40"/>
        </w:rPr>
        <w:t>ПУБЛИЧНАЯ ОФЕРТА НА ПРЕДОСТАВЛЕНИЕ ДОСТУПА К СЕРВИСУ «ДОКУМЕНТЫ #9»</w:t>
      </w:r>
    </w:p>
    <w:p>
      <w:pPr>
        <w:pStyle w:val="Code9Subtitle"/>
        <w:spacing w:after="200"/>
        <w:jc w:val="center"/>
      </w:pPr>
      <w:r>
        <w:rPr>
          <w:rFonts w:ascii="Arial" w:hAnsi="Arial" w:eastAsia="Arial"/>
          <w:color w:val="666666"/>
          <w:sz w:val="22"/>
        </w:rPr>
        <w:t>для размещения на странице продукта и в платежном сценарии CODE9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color="E4E4E4"/>
          <w:left w:val="single" w:sz="4" w:color="E4E4E4"/>
          <w:bottom w:val="single" w:sz="4" w:color="E4E4E4"/>
          <w:right w:val="single" w:sz="4" w:color="E4E4E4"/>
          <w:insideH w:val="single" w:sz="4" w:color="E4E4E4"/>
          <w:insideV w:val="single" w:sz="4" w:color="E4E4E4"/>
        </w:tblBorders>
      </w:tblPr>
      <w:tblGrid>
        <w:gridCol w:w="4873"/>
        <w:gridCol w:w="4873"/>
      </w:tblGrid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Оператор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Индивидуальный предприниматель Сашнев Сергей Александрович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ИНН / ОГРНИП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860229601650 / 321861700018582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Адрес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628404, Россия, Ханты-Мансийский автономный округ - Югра АО, г. Сургут, ул. Энтузиастов, д. 8, кв. 83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Сайт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codenine.ru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Контакты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support@codenine.ru, +7 (964) 569-70-72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Редакция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color="E6D6D6"/>
          <w:left w:val="single" w:sz="6" w:color="E6D6D6"/>
          <w:bottom w:val="single" w:sz="6" w:color="E6D6D6"/>
          <w:right w:val="single" w:sz="6" w:color="E6D6D6"/>
          <w:insideH w:val="single" w:sz="6" w:color="E6D6D6"/>
          <w:insideV w:val="single" w:sz="6" w:color="E6D6D6"/>
        </w:tblBorders>
      </w:tblPr>
      <w:tblGrid>
        <w:gridCol w:w="9746"/>
      </w:tblGrid>
      <w:tr>
        <w:tc>
          <w:tcPr>
            <w:tcW w:type="dxa" w:w="9746"/>
            <w:shd w:fill="FFF7F7"/>
            <w:vAlign w:val="center"/>
          </w:tcPr>
          <w:p>
            <w:pPr>
              <w:pStyle w:val="Code9Note"/>
              <w:spacing w:before="80" w:after="80"/>
            </w:pPr>
            <w:r>
              <w:rPr>
                <w:rFonts w:ascii="Arial" w:hAnsi="Arial" w:eastAsia="Arial"/>
                <w:color w:val="202020"/>
                <w:sz w:val="20"/>
              </w:rPr>
              <w:t>Документ рассчитан на продуктовую страницу «Документы #9» и покрывает базовые условия доступа, оплаты, возврата и обработки данных в сервисе.</w:t>
            </w:r>
          </w:p>
        </w:tc>
      </w:tr>
    </w:tbl>
    <w:p/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1. Общие положения</w:t>
      </w:r>
    </w:p>
    <w:p>
      <w:pPr>
        <w:spacing w:after="100"/>
      </w:pPr>
      <w:r>
        <w:rPr>
          <w:rFonts w:ascii="Arial" w:hAnsi="Arial" w:eastAsia="Arial"/>
          <w:sz w:val="21"/>
        </w:rPr>
        <w:t>Настоящая публичная оферта определяет условия предоставления доступа к сервису «Документы #9» и связанным функциям со стороны Индивидуальный предприниматель Сашнев Сергей Александрович (далее - Исполнитель) лицу, которое акцептовало настоящую Оферту (далее - Заказчик).</w:t>
      </w:r>
    </w:p>
    <w:p>
      <w:pPr>
        <w:spacing w:after="100"/>
      </w:pPr>
      <w:r>
        <w:rPr>
          <w:rFonts w:ascii="Arial" w:hAnsi="Arial" w:eastAsia="Arial"/>
          <w:sz w:val="21"/>
        </w:rPr>
        <w:t>Оферта адресована юридическим лицам, индивидуальным предпринимателям, а также дееспособным физическим лицам. Если акцепт осуществляется представителем организации, такой представитель подтверждает наличие необходимых полномочий.</w:t>
      </w:r>
    </w:p>
    <w:p>
      <w:pPr>
        <w:spacing w:after="100"/>
      </w:pPr>
      <w:r>
        <w:rPr>
          <w:rFonts w:ascii="Arial" w:hAnsi="Arial" w:eastAsia="Arial"/>
          <w:sz w:val="21"/>
        </w:rPr>
        <w:t>Акцепт Оферты означает полное и безоговорочное согласие Заказчика со всеми ее условиями без каких-либо изъятий и оговорок.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2. Термины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Сервис - цифровой продукт «Документы #9», позволяющий формировать, хранить, отправлять и использовать документы из amoCRM и связанных интеграций.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Активный пользователь - сотрудник или иное уполномоченное лицо Заказчика, которому предоставлен доступ к Сервису и которое фактически использует функциональность Сервиса.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AI-баланс - отдельный внутренний баланс/лимит, за счет которого оплачиваются AI-функции, если такие функции используются Заказчиком.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Тариф - выбранный Заказчиком вариант использования Сервиса, определяющий период доступа, стоимость и допустимое число активных пользователей.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Заказ / акцепт - действие Заказчика, подтверждающее намерение получить доступ к Сервису: отправка заявки, активация бесплатного доступа, нажатие кнопки подключения, оплата счета или иное явно выраженное согласие.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3. Предмет Оферты</w:t>
      </w:r>
    </w:p>
    <w:p>
      <w:pPr>
        <w:spacing w:after="100"/>
      </w:pPr>
      <w:r>
        <w:rPr>
          <w:rFonts w:ascii="Arial" w:hAnsi="Arial" w:eastAsia="Arial"/>
          <w:sz w:val="21"/>
        </w:rPr>
        <w:t>Исполнитель предоставляет Заказчику на условиях простой (неисключительной), ограниченной, отзывной в предусмотренных Офертой случаях лицензии право доступа и использования Сервиса в течение оплаченного периода, а также оказывает сопутствующую техническую поддержку в объеме, предусмотренном выбранным Тарифом или перепиской сторон.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доступ к шаблонам и переменным для подготовки документов из сделки;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формирование PDF и DOCX документов;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хранение истории и файлов в логике работы Сервиса и подключенных интеграций;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подключение и использование автоматизаций и AI-функций в пределах доступного функционала и AI-баланса;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техническая поддержка по вопросам подключения и использования Сервиса.</w:t>
      </w:r>
    </w:p>
    <w:p>
      <w:pPr>
        <w:spacing w:after="100"/>
      </w:pPr>
      <w:r>
        <w:rPr>
          <w:rFonts w:ascii="Arial" w:hAnsi="Arial" w:eastAsia="Arial"/>
          <w:sz w:val="21"/>
        </w:rPr>
        <w:t>Лицензии amoCRM, сторонние подписки, расходы на внешние сервисы и индивидуальные доработки не входят в предмет настоящей Оферты, если иное прямо не согласовано в счете, переписке или отдельном договоре.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4. Порядок заключения договора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Договор считается заключенным с момента акцепта Оферты Заказчиком.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Акцептом признается любое из следующих действий: активация бесплатного тарифа, отправка заявки на подключение, оплата выставленного счета, оплата через доступный на сайте способ, либо фактическое начало использования Сервиса после получения доступа.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 момента акцепта Заказчик считается ознакомленным с текущей редакцией Оферты, Политикой конфиденциальности сервиса и применимыми правилами обработки данных.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5. Тарифы и стоимость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color="D9D9D9"/>
          <w:left w:val="single" w:sz="4" w:color="D9D9D9"/>
          <w:bottom w:val="single" w:sz="4" w:color="D9D9D9"/>
          <w:right w:val="single" w:sz="4" w:color="D9D9D9"/>
          <w:insideH w:val="single" w:sz="4" w:color="D9D9D9"/>
          <w:insideV w:val="single" w:sz="4" w:color="D9D9D9"/>
        </w:tblBorders>
      </w:tblPr>
      <w:tblGrid>
        <w:gridCol w:w="2436"/>
        <w:gridCol w:w="2436"/>
        <w:gridCol w:w="2436"/>
        <w:gridCol w:w="2436"/>
      </w:tblGrid>
      <w:tr>
        <w:trPr>
          <w:tblHeader w:val="true"/>
        </w:trPr>
        <w:tc>
          <w:tcPr>
            <w:tcW w:type="dxa" w:w="2267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Тариф / период</w:t>
            </w:r>
          </w:p>
        </w:tc>
        <w:tc>
          <w:tcPr>
            <w:tcW w:type="dxa" w:w="1700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Стоимость в месяц</w:t>
            </w:r>
          </w:p>
        </w:tc>
        <w:tc>
          <w:tcPr>
            <w:tcW w:type="dxa" w:w="1814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Общая стоимость</w:t>
            </w:r>
          </w:p>
        </w:tc>
        <w:tc>
          <w:tcPr>
            <w:tcW w:type="dxa" w:w="3685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Что включено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Бесплатный тариф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0 ₽</w:t>
            </w:r>
          </w:p>
        </w:tc>
        <w:tc>
          <w:tcPr>
            <w:tcW w:type="dxa" w:w="181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0 ₽</w:t>
            </w:r>
          </w:p>
        </w:tc>
        <w:tc>
          <w:tcPr>
            <w:tcW w:type="dxa" w:w="3685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10 формирований документов в месяц, 1 активный пользователь, базовые шаблоны, PDF и DOCX, хранение документов в сделке.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Платный тариф - 6 месяцев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1 490 ₽</w:t>
            </w:r>
          </w:p>
        </w:tc>
        <w:tc>
          <w:tcPr>
            <w:tcW w:type="dxa" w:w="181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8 940 ₽</w:t>
            </w:r>
          </w:p>
        </w:tc>
        <w:tc>
          <w:tcPr>
            <w:tcW w:type="dxa" w:w="3685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До 5 активных пользователей, основные функции сервиса, шаблоны, PDF/DOCX, хранение, автоматизация, базовый реестр документов.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Платный тариф - 12 месяцев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1 341 ₽</w:t>
            </w:r>
          </w:p>
        </w:tc>
        <w:tc>
          <w:tcPr>
            <w:tcW w:type="dxa" w:w="181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16 092 ₽</w:t>
            </w:r>
          </w:p>
        </w:tc>
        <w:tc>
          <w:tcPr>
            <w:tcW w:type="dxa" w:w="3685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Тот же состав функций; снижение стоимости месяца на 10% по сравнению с базовым периодом.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Платный тариф - 24 месяца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1 118 ₽</w:t>
            </w:r>
          </w:p>
        </w:tc>
        <w:tc>
          <w:tcPr>
            <w:tcW w:type="dxa" w:w="181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26 832 ₽</w:t>
            </w:r>
          </w:p>
        </w:tc>
        <w:tc>
          <w:tcPr>
            <w:tcW w:type="dxa" w:w="3685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Тот же состав функций; снижение стоимости месяца на 25% по сравнению с базовым периодом.</w:t>
            </w:r>
          </w:p>
        </w:tc>
      </w:tr>
    </w:tbl>
    <w:p/>
    <w:p>
      <w:pPr>
        <w:pStyle w:val="ListBullet"/>
        <w:spacing w:after="40"/>
      </w:pPr>
      <w:r>
        <w:rPr>
          <w:rFonts w:ascii="Arial" w:hAnsi="Arial" w:eastAsia="Arial"/>
          <w:sz w:val="21"/>
        </w:rPr>
        <w:t>Минимальный расчет платного тарифа осуществляется исходя из 5 активных пользователей, даже если фактически используется меньшее число.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Каждый следующий активный пользователь сверх минимального пакета оплачивается из расчета 250 ₽ в месяц за пользователя.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AI-функции оплачиваются дополнительно за счет AI-баланса или иного отдельно согласованного механизма.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Цены указываются в рублях Российской Федерации. НДС применяется либо не применяется в зависимости от налогового режима Исполнителя и, при необходимости, отражается в счете.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6. Порядок оплаты</w:t>
      </w:r>
    </w:p>
    <w:p>
      <w:pPr>
        <w:spacing w:after="100"/>
      </w:pPr>
      <w:r>
        <w:rPr>
          <w:rFonts w:ascii="Arial" w:hAnsi="Arial" w:eastAsia="Arial"/>
          <w:sz w:val="21"/>
        </w:rPr>
        <w:t>Оплата производится на условиях 100% предоплаты, если иной порядок прямо не согласован в счете, коммерческом предложении или отдельной переписке сторон.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Оплата может осуществляться по счету, через доступные на сайте платежные инструменты либо иным согласованным способом.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Период доступа начинает исчисляться с даты поступления оплаты либо с даты фактической активации доступа, если стороны согласовали более поздний запуск.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Исполнитель вправе изменять тарифы для будущих периодов. Для уже оплаченного периода действует стоимость, подтвержденная на момент оплаты.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7. Предоставление доступа и запуск Сервиса</w:t>
      </w:r>
    </w:p>
    <w:p>
      <w:pPr>
        <w:spacing w:after="100"/>
      </w:pPr>
      <w:r>
        <w:rPr>
          <w:rFonts w:ascii="Arial" w:hAnsi="Arial" w:eastAsia="Arial"/>
          <w:sz w:val="21"/>
        </w:rPr>
        <w:t>Исполнитель предоставляет доступ к Сервису после получения оплаты и данных, необходимых для подключения, в срок, согласованный сторонами в интерфейсе, счете или переписке. Если отдельный срок не согласован, Исполнитель стремится предоставить доступ не позднее 5 рабочих дней.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Заказчик обязан предоставить достоверные данные для подключения: реквизиты, контактное лицо, сведения об amoCRM-аккаунте и иные необходимые технические параметры.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Бесплатный тариф и демо-доступ могут быть ограничены по функциональности, сроку, количеству документов, числу пользователей и иным параметрам, прямо указанным на сайте или в интерфейсе.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Исполнитель вправе запрашивать дополнительные сведения, если они объективно необходимы для настройки, безопасности или диагностики работы Сервиса.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8. Права и обязанности Заказчика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использовать Сервис только в законных целях и в пределах предоставленного функционала;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не передавать доступ неуполномоченным лицам и обеспечивать сохранность учетных данных;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своевременно оплачивать доступ, дополнительные активные места и AI-баланс;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предоставлять корректные исходные данные, шаблоны и реквизиты;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иметь законные основания для обработки и передачи в Сервис персональных данных третьих лиц;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самостоятельно соблюдать условия использования amoCRM, мессенджеров, облачных хранилищ и иных внешних сервисов, выбранных им для интеграции.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9. Права и обязанности Исполнителя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предоставить Заказчику доступ к Сервису на оплаченный период в пределах текущего функционала и разумной доступности;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принимать меры по защите данных и конфиденциальности в пределах своей зоны ответственности;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оказывать поддержку по контактам, указанным на сайте, в том числе через support@codenine.ru;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обновлять интерфейс, архитектуру, состав функций и безопасность Сервиса, если такие изменения не лишают Заказчика оплаченного объема основного доступа на текущий оплаченный период;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приостанавливать доступ при угрозе безопасности, нарушении Оферты, несанкционированном использовании, отсутствии оплаты или обязательных технических данных для работы Сервиса.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10. Обработка данных и поручение на обработку персональных данных</w:t>
      </w:r>
    </w:p>
    <w:p>
      <w:pPr>
        <w:spacing w:after="100"/>
      </w:pPr>
      <w:r>
        <w:rPr>
          <w:rFonts w:ascii="Arial" w:hAnsi="Arial" w:eastAsia="Arial"/>
          <w:sz w:val="21"/>
        </w:rPr>
        <w:t>Если Заказчик передает в Сервис персональные данные своих клиентов, сотрудников или иных лиц, Заказчик остается оператором таких персональных данных, а Исполнитель действует по поручению Заказчика в той части, которая необходима для предоставления Сервиса, технической поддержки, обеспечения безопасности, резервирования, хранения, маршрутизации и интеграции документов.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Цель обработки по поручению: обеспечение работы Сервиса, формирование и хранение документов, интеграции, поддержка, безопасность и биллинг.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Действия с данными: запись, систематизация, хранение, извлечение, использование, передача в выбранные Заказчиком интеграции, обезличивание, блокирование и удаление в пределах функционала Сервиса.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Исполнитель обязуется соблюдать конфиденциальность, применять необходимые меры защиты и не использовать данные Заказчика в собственных целях, кроме обезличенной статистики и случаев, прямо вытекающих из закона или Оферты.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Заказчик гарантирует законность передачи таких данных в Сервис и исполнение собственных обязанностей как оператора персональных данных.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11. Интеллектуальная собственность</w:t>
      </w:r>
    </w:p>
    <w:p>
      <w:pPr>
        <w:spacing w:after="100"/>
      </w:pPr>
      <w:r>
        <w:rPr>
          <w:rFonts w:ascii="Arial" w:hAnsi="Arial" w:eastAsia="Arial"/>
          <w:sz w:val="21"/>
        </w:rPr>
        <w:t>Все исключительные права на Сервис, его программный код, интерфейс, документацию, дизайн, базовую логику и иные результаты интеллектуальной деятельности принадлежат Исполнителю либо правообладателям, предоставившим соответствующие права.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Заказчику предоставляется только право использования Сервиса в пределах оплаченного периода и числа активных пользователей.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Заказчик не вправе декомпилировать, копировать, распространять, модифицировать или иным образом использовать Сервис вне предоставленного объема, за исключением случаев, прямо допускаемых законом.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Права на данные, шаблоны и контент, загруженные Заказчиком, сохраняются за Заказчиком или соответствующим правообладателем.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12. Срок действия, приостановление и прекращение доступа</w:t>
      </w:r>
    </w:p>
    <w:p>
      <w:pPr>
        <w:spacing w:after="100"/>
      </w:pPr>
      <w:r>
        <w:rPr>
          <w:rFonts w:ascii="Arial" w:hAnsi="Arial" w:eastAsia="Arial"/>
          <w:sz w:val="21"/>
        </w:rPr>
        <w:t>Доступ предоставляется на период, оплаченный Заказчиком. По окончании периода доступ может быть продлен путем оплаты следующего периода либо прекращен.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Исполнитель вправе приостановить доступ на время технических работ, устранения уязвимостей и иных объективно необходимых мероприятий.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Исполнитель вправе досрочно прекратить доступ при существенном нарушении Оферты Заказчиком, в том числе при незаконной обработке данных, попытках обхода ограничений, несанкционированном доступе и неоплате.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После прекращения доступа Исполнитель вправе удалить данные из рабочих контуров и закрыть доступ к ним по истечении разумного срока, необходимого для выгрузки и выполнения обязательных процедур, если иное не следует из закона или отдельной договоренности сторон.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13. Возврат денежных средств</w:t>
      </w:r>
    </w:p>
    <w:p>
      <w:pPr>
        <w:spacing w:after="100"/>
      </w:pPr>
      <w:r>
        <w:rPr>
          <w:rFonts w:ascii="Arial" w:hAnsi="Arial" w:eastAsia="Arial"/>
          <w:sz w:val="21"/>
        </w:rPr>
        <w:t>Если Заказчик отказался от подключения до фактического предоставления доступа к Сервису, Исполнитель возвращает уплаченную сумму в полном объеме за вычетом обязательных банковских удержаний, если они фактически возникли.</w:t>
      </w:r>
    </w:p>
    <w:p>
      <w:pPr>
        <w:spacing w:after="100"/>
      </w:pPr>
      <w:r>
        <w:rPr>
          <w:rFonts w:ascii="Arial" w:hAnsi="Arial" w:eastAsia="Arial"/>
          <w:sz w:val="21"/>
        </w:rPr>
        <w:t>Если доступ к Сервису уже предоставлен, возврат возможен пропорционально неиспользованному периоду, за вычетом стоимости фактически оказанного доступа, индивидуальных работ, подключенных дополнительных пользователей и фактически израсходованного AI-баланса, если иное не вытекает из обязательных норм закона.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14. Ответственность сторон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Исполнитель не несет ответственности за невозможность использования Сервиса, вызванную проблемами у Заказчика, действиями третьих лиц, сбоями внешних сервисов, каналов связи, amoCRM, облачных хранилищ, мессенджеров, действий хостинг-провайдеров вне разумного контроля Исполнителя.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Исполнитель не отвечает за содержание данных, шаблонов и документов Заказчика, а также за законность их загрузки и использования.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В максимально допустимой законом степени Исполнитель не возмещает упущенную выгоду, косвенные убытки и репутационные потери Заказчика.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Совокупная ответственность Исполнителя по Оферте ограничивается суммой, фактически уплаченной Заказчиком за спорный оплаченный период доступа к Сервису.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15. Урегулирование споров</w:t>
      </w:r>
    </w:p>
    <w:p>
      <w:pPr>
        <w:spacing w:after="100"/>
      </w:pPr>
      <w:r>
        <w:rPr>
          <w:rFonts w:ascii="Arial" w:hAnsi="Arial" w:eastAsia="Arial"/>
          <w:sz w:val="21"/>
        </w:rPr>
        <w:t>Стороны стремятся урегулировать споры путем переговоров и обмена письменными претензиями. Срок ответа на претензию - 15 календарных дней с даты ее получения, если иной срок не предусмотрен законом.</w:t>
      </w:r>
    </w:p>
    <w:p>
      <w:pPr>
        <w:spacing w:after="100"/>
      </w:pPr>
      <w:r>
        <w:rPr>
          <w:rFonts w:ascii="Arial" w:hAnsi="Arial" w:eastAsia="Arial"/>
          <w:sz w:val="21"/>
        </w:rPr>
        <w:t>Если спор не урегулирован в претензионном порядке, он подлежит разрешению в соответствии с законодательством Российской Федерации по месту нахождения Исполнителя, если обязательные нормы не предусматривают иное.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16. Заключительные положения и реквизиты Исполнителя</w:t>
      </w:r>
    </w:p>
    <w:p>
      <w:pPr>
        <w:spacing w:after="100"/>
      </w:pPr>
      <w:r>
        <w:rPr>
          <w:rFonts w:ascii="Arial" w:hAnsi="Arial" w:eastAsia="Arial"/>
          <w:sz w:val="21"/>
        </w:rPr>
        <w:t>Исполнитель вправе вносить изменения в настоящую Оферту. Новая редакция применяется к новым заказам и будущим периодам доступа с даты публикации, если иной срок не указан в самой редакции. К уже оплаченному периоду применяется редакция, действовавшая на дату оплаты, если иное не требуется законом или не обусловлено вопросами безопасности.</w:t>
      </w:r>
    </w:p>
    <w:p>
      <w:pPr>
        <w:spacing w:after="100"/>
      </w:pPr>
      <w:r>
        <w:rPr>
          <w:rFonts w:ascii="Arial" w:hAnsi="Arial" w:eastAsia="Arial"/>
          <w:sz w:val="21"/>
        </w:rPr>
        <w:t>Исполнитель: Индивидуальный предприниматель Сашнев Сергей Александрович; ИНН 860229601650; ОГРНИП 321861700018582; адрес: 628404, Россия, Ханты-Мансийский автономный округ - Югра АО, г. Сургут, ул. Энтузиастов, д. 8, кв. 83; email: support@codenine.ru; телефон: +7 (964) 569-70-72; сайт: codenine.ru.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66666"/>
        <w:sz w:val="17"/>
      </w:rPr>
      <w:t>CODE9 • codenine.ru • редакция 16.04.2026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color w:val="666666"/>
        <w:sz w:val="17"/>
      </w:rPr>
      <w:t>CODE9 legal pack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 w:eastAsia="Arial"/>
      <w:color w:val="20202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9Title">
    <w:name w:val="Code9 Title"/>
    <w:basedOn w:val="Title"/>
    <w:pPr>
      <w:spacing w:after="120" w:line="276" w:lineRule="auto"/>
    </w:pPr>
    <w:rPr>
      <w:rFonts w:ascii="Arial" w:hAnsi="Arial" w:eastAsia="Arial"/>
      <w:b/>
      <w:color w:val="C62E2E"/>
      <w:sz w:val="40"/>
    </w:rPr>
  </w:style>
  <w:style w:type="paragraph" w:customStyle="1" w:styleId="Code9Subtitle">
    <w:name w:val="Code9 Subtitle"/>
    <w:basedOn w:val="Subtitle"/>
    <w:pPr>
      <w:spacing w:after="120" w:line="276" w:lineRule="auto"/>
    </w:pPr>
    <w:rPr>
      <w:rFonts w:ascii="Arial" w:hAnsi="Arial" w:eastAsia="Arial"/>
      <w:b w:val="0"/>
      <w:color w:val="666666"/>
      <w:sz w:val="22"/>
    </w:rPr>
  </w:style>
  <w:style w:type="paragraph" w:customStyle="1" w:styleId="Code9H1">
    <w:name w:val="Code9 H1"/>
    <w:basedOn w:val="Heading1"/>
    <w:pPr>
      <w:spacing w:after="120" w:line="276" w:lineRule="auto"/>
    </w:pPr>
    <w:rPr>
      <w:rFonts w:ascii="Arial" w:hAnsi="Arial" w:eastAsia="Arial"/>
      <w:b/>
      <w:color w:val="C62E2E"/>
      <w:sz w:val="27"/>
    </w:rPr>
  </w:style>
  <w:style w:type="paragraph" w:customStyle="1" w:styleId="Code9H2">
    <w:name w:val="Code9 H2"/>
    <w:basedOn w:val="Heading2"/>
    <w:pPr>
      <w:spacing w:after="120" w:line="276" w:lineRule="auto"/>
    </w:pPr>
    <w:rPr>
      <w:rFonts w:ascii="Arial" w:hAnsi="Arial" w:eastAsia="Arial"/>
      <w:b/>
      <w:color w:val="202020"/>
      <w:sz w:val="23"/>
    </w:rPr>
  </w:style>
  <w:style w:type="paragraph" w:customStyle="1" w:styleId="Code9Note">
    <w:name w:val="Code9 Note"/>
    <w:basedOn w:val="Normal"/>
    <w:pPr>
      <w:spacing w:after="120" w:line="276" w:lineRule="auto"/>
    </w:pPr>
    <w:rPr>
      <w:rFonts w:ascii="Arial" w:hAnsi="Arial" w:eastAsia="Arial"/>
      <w:b w:val="0"/>
      <w:color w:val="202020"/>
      <w:sz w:val="20"/>
    </w:rPr>
  </w:style>
  <w:style w:type="paragraph" w:customStyle="1" w:styleId="Code9Small">
    <w:name w:val="Code9 Small"/>
    <w:basedOn w:val="Normal"/>
    <w:pPr>
      <w:spacing w:after="120" w:line="276" w:lineRule="auto"/>
    </w:pPr>
    <w:rPr>
      <w:rFonts w:ascii="Arial" w:hAnsi="Arial" w:eastAsia="Arial"/>
      <w:b w:val="0"/>
      <w:color w:val="66666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