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de9Title"/>
        <w:spacing w:after="60"/>
        <w:jc w:val="center"/>
      </w:pPr>
      <w:r>
        <w:rPr>
          <w:rFonts w:ascii="Arial" w:hAnsi="Arial" w:eastAsia="Arial"/>
          <w:b/>
          <w:color w:val="C62E2E"/>
          <w:sz w:val="40"/>
        </w:rPr>
        <w:t>ПОЛИТИКА КОНФИДЕНЦИАЛЬНОСТИ И ОБРАБОТКИ ДАННЫХ СЕРВИСА «ДОКУМЕНТЫ #9»</w:t>
      </w:r>
    </w:p>
    <w:p>
      <w:pPr>
        <w:pStyle w:val="Code9Subtitle"/>
        <w:spacing w:after="200"/>
        <w:jc w:val="center"/>
      </w:pPr>
      <w:r>
        <w:rPr>
          <w:rFonts w:ascii="Arial" w:hAnsi="Arial" w:eastAsia="Arial"/>
          <w:color w:val="666666"/>
          <w:sz w:val="22"/>
        </w:rPr>
        <w:t>для продуктовой страницы и сервиса Documents #9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color="E4E4E4"/>
          <w:left w:val="single" w:sz="4" w:color="E4E4E4"/>
          <w:bottom w:val="single" w:sz="4" w:color="E4E4E4"/>
          <w:right w:val="single" w:sz="4" w:color="E4E4E4"/>
          <w:insideH w:val="single" w:sz="4" w:color="E4E4E4"/>
          <w:insideV w:val="single" w:sz="4" w:color="E4E4E4"/>
        </w:tblBorders>
      </w:tblPr>
      <w:tblGrid>
        <w:gridCol w:w="4873"/>
        <w:gridCol w:w="4873"/>
      </w:tblGrid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Оператор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Индивидуальный предприниматель Сашнев Сергей Александрович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ИНН / ОГРНИП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860229601650 / 321861700018582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Адрес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628404, Россия, Ханты-Мансийский автономный округ - Югра АО, г. Сургут, ул. Энтузиастов, д. 8, кв. 83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Сайт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codenine.ru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Контакты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support@codenine.ru, +7 (964) 569-70-72</w:t>
            </w:r>
          </w:p>
        </w:tc>
      </w:tr>
      <w:tr>
        <w:tc>
          <w:tcPr>
            <w:tcW w:type="dxa" w:w="2437"/>
            <w:shd w:fill="F6F6F6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202020"/>
                <w:sz w:val="20"/>
              </w:rPr>
              <w:t>Редакция</w:t>
            </w:r>
          </w:p>
        </w:tc>
        <w:tc>
          <w:tcPr>
            <w:tcW w:type="dxa" w:w="6349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20"/>
              </w:rPr>
              <w:t>16.04.2026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color="E6D6D6"/>
          <w:left w:val="single" w:sz="6" w:color="E6D6D6"/>
          <w:bottom w:val="single" w:sz="6" w:color="E6D6D6"/>
          <w:right w:val="single" w:sz="6" w:color="E6D6D6"/>
          <w:insideH w:val="single" w:sz="6" w:color="E6D6D6"/>
          <w:insideV w:val="single" w:sz="6" w:color="E6D6D6"/>
        </w:tblBorders>
      </w:tblPr>
      <w:tblGrid>
        <w:gridCol w:w="9746"/>
      </w:tblGrid>
      <w:tr>
        <w:tc>
          <w:tcPr>
            <w:tcW w:type="dxa" w:w="9746"/>
            <w:shd w:fill="FFF7F7"/>
            <w:vAlign w:val="center"/>
          </w:tcPr>
          <w:p>
            <w:pPr>
              <w:pStyle w:val="Code9Note"/>
              <w:spacing w:before="80" w:after="80"/>
            </w:pPr>
            <w:r>
              <w:rPr>
                <w:rFonts w:ascii="Arial" w:hAnsi="Arial" w:eastAsia="Arial"/>
                <w:color w:val="202020"/>
                <w:sz w:val="20"/>
              </w:rPr>
              <w:t>Документ можно публиковать как отдельную страницу сервиса «Документы #9». Он разделяет роли CODE9 как оператора и как лица, обрабатывающего данные по поручению клиента.</w:t>
            </w:r>
          </w:p>
        </w:tc>
      </w:tr>
    </w:tbl>
    <w:p/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1. Общие положения</w:t>
      </w:r>
    </w:p>
    <w:p>
      <w:pPr>
        <w:spacing w:after="100"/>
      </w:pPr>
      <w:r>
        <w:rPr>
          <w:rFonts w:ascii="Arial" w:hAnsi="Arial" w:eastAsia="Arial"/>
          <w:sz w:val="21"/>
        </w:rPr>
        <w:t>Настоящая Политика конфиденциальности и обработки данных сервиса «Документы #9» регулирует порядок обработки данных при использовании виджета и связанных функций по созданию, формированию, хранению и отправке документов из amoCRM и связанных интеграций.</w:t>
      </w:r>
    </w:p>
    <w:p>
      <w:pPr>
        <w:spacing w:after="100"/>
      </w:pPr>
      <w:r>
        <w:rPr>
          <w:rFonts w:ascii="Arial" w:hAnsi="Arial" w:eastAsia="Arial"/>
          <w:sz w:val="21"/>
        </w:rPr>
        <w:t>Политика применяется к пользователям сервиса, администраторам аккаунтов, клиентам Оператора и иным лицам, чьи данные обрабатываются в связи с предоставлением доступа к сервису «Документы #9».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2. Роли сторон при обработке данных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color="D9D9D9"/>
          <w:left w:val="single" w:sz="4" w:color="D9D9D9"/>
          <w:bottom w:val="single" w:sz="4" w:color="D9D9D9"/>
          <w:right w:val="single" w:sz="4" w:color="D9D9D9"/>
          <w:insideH w:val="single" w:sz="4" w:color="D9D9D9"/>
          <w:insideV w:val="single" w:sz="4" w:color="D9D9D9"/>
        </w:tblBorders>
      </w:tblPr>
      <w:tblGrid>
        <w:gridCol w:w="3249"/>
        <w:gridCol w:w="3249"/>
        <w:gridCol w:w="3249"/>
      </w:tblGrid>
      <w:tr>
        <w:trPr>
          <w:tblHeader w:val="true"/>
        </w:trPr>
        <w:tc>
          <w:tcPr>
            <w:tcW w:type="dxa" w:w="3401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Категория данных</w:t>
            </w:r>
          </w:p>
        </w:tc>
        <w:tc>
          <w:tcPr>
            <w:tcW w:type="dxa" w:w="2381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Роль CODE9</w:t>
            </w:r>
          </w:p>
        </w:tc>
        <w:tc>
          <w:tcPr>
            <w:tcW w:type="dxa" w:w="3514"/>
            <w:shd w:fill="C62E2E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/>
                <w:color w:val="FFFFFF"/>
                <w:sz w:val="19"/>
              </w:rPr>
              <w:t>Основание</w:t>
            </w:r>
          </w:p>
        </w:tc>
      </w:tr>
      <w:tr>
        <w:tc>
          <w:tcPr>
            <w:tcW w:type="dxa" w:w="340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Данные посетителей страницы продукта, лиц, оставивших заявку на подключение или поддержку сервиса</w:t>
            </w:r>
          </w:p>
        </w:tc>
        <w:tc>
          <w:tcPr>
            <w:tcW w:type="dxa" w:w="238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CODE9 действует как оператор</w:t>
            </w:r>
          </w:p>
        </w:tc>
        <w:tc>
          <w:tcPr>
            <w:tcW w:type="dxa" w:w="351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согласие субъекта, переговоры о заключении договора, иные законные основания</w:t>
            </w:r>
          </w:p>
        </w:tc>
      </w:tr>
      <w:tr>
        <w:tc>
          <w:tcPr>
            <w:tcW w:type="dxa" w:w="340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Данные уполномоченных пользователей аккаунта, контактных лиц клиента, данные для биллинга и поддержки</w:t>
            </w:r>
          </w:p>
        </w:tc>
        <w:tc>
          <w:tcPr>
            <w:tcW w:type="dxa" w:w="238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CODE9 действует как оператор</w:t>
            </w:r>
          </w:p>
        </w:tc>
        <w:tc>
          <w:tcPr>
            <w:tcW w:type="dxa" w:w="351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исполнение договора, учет, сопровождение, безопасность сервиса</w:t>
            </w:r>
          </w:p>
        </w:tc>
      </w:tr>
      <w:tr>
        <w:tc>
          <w:tcPr>
            <w:tcW w:type="dxa" w:w="340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Данные, которые клиент загружает в amoCRM, шаблоны, документы и интеграции сервиса, включая данные контактов и компаний клиента</w:t>
            </w:r>
          </w:p>
        </w:tc>
        <w:tc>
          <w:tcPr>
            <w:tcW w:type="dxa" w:w="2381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CODE9 действует по поручению клиента в объеме, необходимом для работы сервиса</w:t>
            </w:r>
          </w:p>
        </w:tc>
        <w:tc>
          <w:tcPr>
            <w:tcW w:type="dxa" w:w="3514"/>
            <w:vAlign w:val="center"/>
          </w:tcPr>
          <w:p>
            <w:pPr>
              <w:spacing w:after="40" w:before="40"/>
            </w:pPr>
            <w:r/>
            <w:r>
              <w:rPr>
                <w:rFonts w:ascii="Arial" w:hAnsi="Arial" w:eastAsia="Arial"/>
                <w:b w:val="0"/>
                <w:color w:val="202020"/>
                <w:sz w:val="19"/>
              </w:rPr>
              <w:t>договор/оферта с клиентом, инструкции клиента и законные основания клиента как оператора персональных данных</w:t>
            </w:r>
          </w:p>
        </w:tc>
      </w:tr>
    </w:tbl>
    <w:p/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3. Какие данные обрабатываются в сервисе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данные аккаунта и технические идентификаторы: account_id, subdomain, user_id, настройки, журнал действий, сведения о тарифе и периоде доступа;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данные контактных лиц клиента: имя, email, телефон, должность, сведения о роли и правах доступа;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контентные данные: шаблоны документов, реквизиты, переменные, регистры, номера документов, поля сделок, контактов, компаний и иных сущностей, которые клиент выбрал для использования в сервисе;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файлы и результаты генерации: PDF, DOCX, вложения, связанные комментарии, статусы отправки и иные служебные метаданные;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данные интеграций и хранилищ: токены доступа, идентификаторы подключенных сервисов, параметры хранения и маршрутизации документов;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технические и защитные данные: IP-адрес, сведения о браузере и устройстве, журналы ошибок, логи авторизации и события информационной безопасности.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4. Цели обработки данных в сервисе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подключение, настройка, предоставление и сопровождение сервиса «Документы #9»;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формирование и хранение документов по выбранным шаблонам, подстановка данных из amoCRM и связанных сущностей;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отправка документов в amoCRM, облачные хранилища, ЭДО, почтовые каналы и иные интеграции, выбранные клиентом;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обеспечение биллинга, тарифов, расчета количества активных пользователей и учета AI-баланса;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обработка обращений в поддержку, устранение ошибок, аудит событий и обеспечение информационной безопасности;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соблюдение требований законодательства, урегулирование споров и защита прав сторон.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5. Гарантии и обязанности клиента как оператора данных</w:t>
      </w:r>
    </w:p>
    <w:p>
      <w:pPr>
        <w:spacing w:after="100"/>
      </w:pPr>
      <w:r>
        <w:rPr>
          <w:rFonts w:ascii="Arial" w:hAnsi="Arial" w:eastAsia="Arial"/>
          <w:sz w:val="21"/>
        </w:rPr>
        <w:t>Если клиент загружает в сервис персональные данные третьих лиц, клиент гарантирует, что имеет законные основания для такой обработки и надлежащим образом исполнил обязанность по информированию субъектов персональных данных.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клиент самостоятельно определяет состав данных, которые попадают в сервис из amoCRM и шаблонов;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клиент отвечает за законность выбора каналов связи, хранения, отправки и интеграций, включая использование мессенджеров, облачных хранилищ и иных подключаемых сервисов;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клиент обязан не загружать в сервис избыточные данные и по возможности ограничивать обработку минимально необходимым объемом.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6. Хранение данных, локализация и трансграничная передача</w:t>
      </w:r>
    </w:p>
    <w:p>
      <w:pPr>
        <w:spacing w:after="100"/>
      </w:pPr>
      <w:r>
        <w:rPr>
          <w:rFonts w:ascii="Arial" w:hAnsi="Arial" w:eastAsia="Arial"/>
          <w:sz w:val="21"/>
        </w:rPr>
        <w:t>Оператор выстраивает работу сервиса так, чтобы соблюдать применимые требования законодательства о локализации персональных данных. Если по закону требуется первичная запись, систематизация, накопление, хранение, уточнение и извлечение персональных данных граждан Российской Федерации в базах данных на территории Российской Федерации, такие действия должны обеспечиваться в соответствующей части архитектуры и процессов.</w:t>
      </w:r>
    </w:p>
    <w:p>
      <w:pPr>
        <w:spacing w:after="100"/>
      </w:pPr>
      <w:r>
        <w:rPr>
          <w:rFonts w:ascii="Arial" w:hAnsi="Arial" w:eastAsia="Arial"/>
          <w:sz w:val="21"/>
        </w:rPr>
        <w:t>Документы и данные могут передаваться в подключенные клиентом системы и хранилища, включая amoCRM, Яндекс.Диск, Google Drive, электронный документооборот, почтовые и иные интеграции, если это выбрано клиентом в настройках сервиса или следует из логики оказания услуги.</w:t>
      </w:r>
    </w:p>
    <w:p>
      <w:pPr>
        <w:spacing w:after="100"/>
      </w:pPr>
      <w:r>
        <w:rPr>
          <w:rFonts w:ascii="Arial" w:hAnsi="Arial" w:eastAsia="Arial"/>
          <w:sz w:val="21"/>
        </w:rPr>
        <w:t>Трансграничная передача допускается только при наличии законных оснований и с учетом применимых ограничений. При выборе зарубежной интеграции клиент обязан самостоятельно убедиться в наличии надлежащего основания и, при необходимости, выполнить требуемые уведомления и иные формальности.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7. Передача данных третьим лицам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amoCRM и иные CRM/ERP/EDI-платформы, к которым подключается клиент;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провайдеры облачного хранения, выбранные клиентом;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почтовые, SMS-, телефонийные, мессенджерные и иные коммуникационные сервисы, участвующие в доставке документов и уведомлений;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хостинг-провайдеры, поставщики инфраструктуры, средств резервирования, мониторинга и информационной безопасности;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государственные органы и иные уполномоченные лица - только в случаях, когда такая передача обязательна по закону.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8. Меры безопасности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разграничение доступа к данным и управление ролями пользователей;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использование защищенных каналов связи и механизмов авторизации;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применение токенов, журналирование действий и контроль критических операций;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резервирование и восстановление в объеме, необходимом для обеспечения устойчивости сервиса;</w:t>
      </w:r>
    </w:p>
    <w:p>
      <w:pPr>
        <w:pStyle w:val="ListBullet"/>
        <w:spacing w:after="40"/>
      </w:pPr>
      <w:r>
        <w:rPr>
          <w:rFonts w:ascii="Arial" w:hAnsi="Arial" w:eastAsia="Arial"/>
          <w:sz w:val="21"/>
        </w:rPr>
        <w:t>обязательства о конфиденциальности для лиц, имеющих доступ к данным, и контроль подрядчиков.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9. Срок хранения и удаление данных</w:t>
      </w:r>
    </w:p>
    <w:p>
      <w:pPr>
        <w:spacing w:after="100"/>
      </w:pPr>
      <w:r>
        <w:rPr>
          <w:rFonts w:ascii="Arial" w:hAnsi="Arial" w:eastAsia="Arial"/>
          <w:sz w:val="21"/>
        </w:rPr>
        <w:t>Данные хранятся в течение срока действия доступа к сервису и далее в объеме, необходимом для закрытия финансовых, технических и правовых обязательств, если более короткий или более длительный срок не следует из закона, договора либо инструкций клиента.</w:t>
      </w:r>
    </w:p>
    <w:p>
      <w:pPr>
        <w:spacing w:after="100"/>
      </w:pPr>
      <w:r>
        <w:rPr>
          <w:rFonts w:ascii="Arial" w:hAnsi="Arial" w:eastAsia="Arial"/>
          <w:sz w:val="21"/>
        </w:rPr>
        <w:t>После прекращения доступа и завершения разумного срока для выгрузки данных Оператор удаляет, обезличивает либо прекращает доступ к данным, если иное не предусмотрено обязательными сроками хранения или согласованными условиями резервирования.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10. Права субъектов данных и контакты</w:t>
      </w:r>
    </w:p>
    <w:p>
      <w:pPr>
        <w:spacing w:after="100"/>
      </w:pPr>
      <w:r>
        <w:rPr>
          <w:rFonts w:ascii="Arial" w:hAnsi="Arial" w:eastAsia="Arial"/>
          <w:sz w:val="21"/>
        </w:rPr>
        <w:t>Если персональные данные обрабатываются CODE9 как оператор, субъект может обратиться к Оператору напрямую по контактам, указанным в настоящем документе.</w:t>
      </w:r>
    </w:p>
    <w:p>
      <w:pPr>
        <w:spacing w:after="100"/>
      </w:pPr>
      <w:r>
        <w:rPr>
          <w:rFonts w:ascii="Arial" w:hAnsi="Arial" w:eastAsia="Arial"/>
          <w:sz w:val="21"/>
        </w:rPr>
        <w:t>Если данные загружены в сервис клиентом и CODE9 действует по поручению клиента, первичным адресатом запроса субъекта персональных данных обычно является клиент как оператор данных. Тем не менее CODE9 принимает обращения на support@codenine.ru и при необходимости направляет их надлежащей стороне.</w:t>
      </w:r>
    </w:p>
    <w:p>
      <w:pPr>
        <w:pStyle w:val="Code9H1"/>
        <w:keepNext/>
        <w:spacing w:before="200" w:after="80"/>
      </w:pPr>
      <w:r>
        <w:rPr>
          <w:rFonts w:ascii="Arial" w:hAnsi="Arial" w:eastAsia="Arial"/>
          <w:b/>
          <w:color w:val="C62E2E"/>
          <w:sz w:val="27"/>
        </w:rPr>
        <w:t>11. Изменение Политики</w:t>
      </w:r>
    </w:p>
    <w:p>
      <w:pPr>
        <w:spacing w:after="100"/>
      </w:pPr>
      <w:r>
        <w:rPr>
          <w:rFonts w:ascii="Arial" w:hAnsi="Arial" w:eastAsia="Arial"/>
          <w:sz w:val="21"/>
        </w:rPr>
        <w:t>Оператор вправе обновлять настоящую Политику по мере изменения функциональности сервиса, состава интеграций, организационных мер безопасности и требований законодательства. Актуальная редакция публикуется на странице сервиса и применяется с даты публикации, если иной срок не указан отдельно.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020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666666"/>
        <w:sz w:val="17"/>
      </w:rPr>
      <w:t>CODE9 • codenine.ru • редакция 16.04.2026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color w:val="666666"/>
        <w:sz w:val="17"/>
      </w:rPr>
      <w:t>CODE9 legal pack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 w:eastAsia="Arial"/>
      <w:color w:val="20202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9Title">
    <w:name w:val="Code9 Title"/>
    <w:basedOn w:val="Title"/>
    <w:pPr>
      <w:spacing w:after="120" w:line="276" w:lineRule="auto"/>
    </w:pPr>
    <w:rPr>
      <w:rFonts w:ascii="Arial" w:hAnsi="Arial" w:eastAsia="Arial"/>
      <w:b/>
      <w:color w:val="C62E2E"/>
      <w:sz w:val="40"/>
    </w:rPr>
  </w:style>
  <w:style w:type="paragraph" w:customStyle="1" w:styleId="Code9Subtitle">
    <w:name w:val="Code9 Subtitle"/>
    <w:basedOn w:val="Subtitle"/>
    <w:pPr>
      <w:spacing w:after="120" w:line="276" w:lineRule="auto"/>
    </w:pPr>
    <w:rPr>
      <w:rFonts w:ascii="Arial" w:hAnsi="Arial" w:eastAsia="Arial"/>
      <w:b w:val="0"/>
      <w:color w:val="666666"/>
      <w:sz w:val="22"/>
    </w:rPr>
  </w:style>
  <w:style w:type="paragraph" w:customStyle="1" w:styleId="Code9H1">
    <w:name w:val="Code9 H1"/>
    <w:basedOn w:val="Heading1"/>
    <w:pPr>
      <w:spacing w:after="120" w:line="276" w:lineRule="auto"/>
    </w:pPr>
    <w:rPr>
      <w:rFonts w:ascii="Arial" w:hAnsi="Arial" w:eastAsia="Arial"/>
      <w:b/>
      <w:color w:val="C62E2E"/>
      <w:sz w:val="27"/>
    </w:rPr>
  </w:style>
  <w:style w:type="paragraph" w:customStyle="1" w:styleId="Code9H2">
    <w:name w:val="Code9 H2"/>
    <w:basedOn w:val="Heading2"/>
    <w:pPr>
      <w:spacing w:after="120" w:line="276" w:lineRule="auto"/>
    </w:pPr>
    <w:rPr>
      <w:rFonts w:ascii="Arial" w:hAnsi="Arial" w:eastAsia="Arial"/>
      <w:b/>
      <w:color w:val="202020"/>
      <w:sz w:val="23"/>
    </w:rPr>
  </w:style>
  <w:style w:type="paragraph" w:customStyle="1" w:styleId="Code9Note">
    <w:name w:val="Code9 Note"/>
    <w:basedOn w:val="Normal"/>
    <w:pPr>
      <w:spacing w:after="120" w:line="276" w:lineRule="auto"/>
    </w:pPr>
    <w:rPr>
      <w:rFonts w:ascii="Arial" w:hAnsi="Arial" w:eastAsia="Arial"/>
      <w:b w:val="0"/>
      <w:color w:val="202020"/>
      <w:sz w:val="20"/>
    </w:rPr>
  </w:style>
  <w:style w:type="paragraph" w:customStyle="1" w:styleId="Code9Small">
    <w:name w:val="Code9 Small"/>
    <w:basedOn w:val="Normal"/>
    <w:pPr>
      <w:spacing w:after="120" w:line="276" w:lineRule="auto"/>
    </w:pPr>
    <w:rPr>
      <w:rFonts w:ascii="Arial" w:hAnsi="Arial" w:eastAsia="Arial"/>
      <w:b w:val="0"/>
      <w:color w:val="66666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